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70" w:rsidRPr="000B4689" w:rsidRDefault="00ED63B2" w:rsidP="00895D5E">
      <w:pPr>
        <w:pStyle w:val="Heading210"/>
        <w:keepNext/>
        <w:keepLines/>
        <w:spacing w:before="0" w:after="0" w:line="4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  <w:bookmarkStart w:id="0" w:name="bookmark0"/>
      <w:bookmarkStart w:id="1" w:name="bookmark1"/>
      <w:bookmarkStart w:id="2" w:name="bookmark2"/>
      <w:r w:rsidRPr="000B4689">
        <w:rPr>
          <w:rFonts w:asciiTheme="minorEastAsia" w:eastAsiaTheme="minorEastAsia" w:hAnsiTheme="minorEastAsia"/>
          <w:b/>
          <w:color w:val="000000" w:themeColor="text1"/>
          <w:sz w:val="24"/>
        </w:rPr>
        <w:t>提货单电子化业务协议（第</w:t>
      </w:r>
      <w:r w:rsidR="000911AC" w:rsidRPr="000B4689">
        <w:rPr>
          <w:rFonts w:asciiTheme="minorEastAsia" w:eastAsiaTheme="minorEastAsia" w:hAnsiTheme="minorEastAsia"/>
          <w:b/>
          <w:color w:val="000000" w:themeColor="text1"/>
          <w:sz w:val="24"/>
        </w:rPr>
        <w:t>三</w:t>
      </w:r>
      <w:r w:rsidRPr="000B4689">
        <w:rPr>
          <w:rFonts w:asciiTheme="minorEastAsia" w:eastAsiaTheme="minorEastAsia" w:hAnsiTheme="minorEastAsia"/>
          <w:b/>
          <w:color w:val="000000" w:themeColor="text1"/>
          <w:sz w:val="24"/>
        </w:rPr>
        <w:t>期）</w:t>
      </w:r>
      <w:bookmarkEnd w:id="0"/>
      <w:bookmarkEnd w:id="1"/>
      <w:bookmarkEnd w:id="2"/>
    </w:p>
    <w:p w:rsidR="00E87D70" w:rsidRPr="000B4689" w:rsidRDefault="00ED63B2" w:rsidP="005617F0">
      <w:pPr>
        <w:pStyle w:val="Bodytext10"/>
        <w:spacing w:line="480" w:lineRule="exact"/>
        <w:ind w:left="2520" w:firstLine="42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0B4689">
        <w:rPr>
          <w:rFonts w:asciiTheme="minorEastAsia" w:eastAsiaTheme="minorEastAsia" w:hAnsiTheme="minorEastAsia"/>
          <w:color w:val="000000" w:themeColor="text1"/>
          <w:sz w:val="18"/>
        </w:rPr>
        <w:t>协议编号：</w:t>
      </w:r>
    </w:p>
    <w:p w:rsidR="00E87D70" w:rsidRPr="000B4689" w:rsidRDefault="00ED63B2" w:rsidP="00504C4C">
      <w:pPr>
        <w:pStyle w:val="Bodytext10"/>
        <w:spacing w:line="440" w:lineRule="exact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甲方：厦门</w:t>
      </w:r>
      <w:r w:rsidR="008E67A1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远海集装箱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码头有限公司（港口经营人）</w:t>
      </w:r>
    </w:p>
    <w:p w:rsidR="00E87D70" w:rsidRPr="000B4689" w:rsidRDefault="00ED63B2" w:rsidP="00504C4C">
      <w:pPr>
        <w:pStyle w:val="Bodytext10"/>
        <w:spacing w:line="440" w:lineRule="exact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乙方：</w:t>
      </w:r>
    </w:p>
    <w:p w:rsidR="005757AA" w:rsidRPr="000B4689" w:rsidRDefault="005757AA" w:rsidP="00895D5E">
      <w:pPr>
        <w:pStyle w:val="Bodytext10"/>
        <w:spacing w:line="480" w:lineRule="exact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</w:p>
    <w:p w:rsidR="00E87D70" w:rsidRPr="000B4689" w:rsidRDefault="000911AC" w:rsidP="00F801F8">
      <w:pPr>
        <w:widowControl/>
        <w:spacing w:beforeLines="50" w:before="120" w:afterLines="50" w:after="120"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本协议所称提货单电子化（第</w:t>
      </w:r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三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期）是指</w:t>
      </w:r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在提货单电子化业务第一、二期的基础上优化操作流程</w:t>
      </w:r>
      <w:r w:rsidR="00A13CE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，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运用信息化技术改变港口作业方原来</w:t>
      </w:r>
      <w:proofErr w:type="gramStart"/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需要验凭收货人</w:t>
      </w:r>
      <w:proofErr w:type="gramEnd"/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或其代理人提交的纸质提货单（也称小提单 Delivery Order）办理放货手续的做法，而由承运人代理向港口经营人发送提货单电子数据及对应提货码，再由收货人或其代理人（一般为拖车公司）先凭</w:t>
      </w:r>
      <w:proofErr w:type="gramStart"/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提货码向港口</w:t>
      </w:r>
      <w:proofErr w:type="gramEnd"/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经营人办理提货，港口经营人在业务完成后定期收回纸面提货单的放</w:t>
      </w:r>
      <w:proofErr w:type="gramStart"/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货方</w:t>
      </w:r>
      <w:proofErr w:type="gramEnd"/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  <w:t>式。</w:t>
      </w:r>
    </w:p>
    <w:p w:rsidR="00E87D70" w:rsidRPr="000B4689" w:rsidRDefault="00ED63B2" w:rsidP="00F801F8">
      <w:pPr>
        <w:pStyle w:val="Bodytext10"/>
        <w:spacing w:beforeLines="50" w:before="120" w:afterLines="50" w:after="120" w:line="400" w:lineRule="exact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  <w:t>鉴于</w:t>
      </w:r>
      <w:r w:rsidR="005757AA" w:rsidRPr="000B4689">
        <w:rPr>
          <w:rFonts w:asciiTheme="minorEastAsia" w:eastAsiaTheme="minorEastAsia" w:hAnsiTheme="minorEastAsia" w:hint="eastAsia"/>
          <w:b/>
          <w:color w:val="000000" w:themeColor="text1"/>
          <w:sz w:val="20"/>
          <w:szCs w:val="21"/>
          <w:lang w:eastAsia="zh-CN"/>
        </w:rPr>
        <w:t>：</w:t>
      </w:r>
    </w:p>
    <w:p w:rsidR="000911AC" w:rsidRPr="000B4689" w:rsidRDefault="00ED63B2" w:rsidP="009E544F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</w:rPr>
        <w:t>1</w:t>
      </w:r>
      <w:r w:rsidR="000911AC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．</w:t>
      </w:r>
      <w:r w:rsidR="000911AC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甲方为港口经营人，经营范围包括为船舶提供码头设施；在港区内提供货物装卸、中转、仓储、物流服务；集装箱装卸、堆放、拆拼箱、修洗箱；船舶港口服务；为船舶提供岸电；租赁服务。甲方与承运人签订港口作业协议，为承运人提供集装箱作业服务。</w:t>
      </w:r>
    </w:p>
    <w:p w:rsidR="00E87D70" w:rsidRPr="000B4689" w:rsidRDefault="00340B7F" w:rsidP="009E544F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bookmarkStart w:id="3" w:name="bookmark3"/>
      <w:bookmarkEnd w:id="3"/>
      <w:r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eastAsia="zh-CN"/>
        </w:rPr>
        <w:t>2</w:t>
      </w:r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．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乙方为从事集装箱疏运业务的公司，就乙方拖车进入甲方所属码头办理集装箱业务之事宜双方已签订了《</w:t>
      </w:r>
      <w:r w:rsidR="00F92D1E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集装箱拖车进闸作业合同书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》，并已在甲方网上</w:t>
      </w:r>
      <w:r w:rsidR="00E507E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8E67A1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</w:t>
      </w:r>
      <w:r w:rsidR="008E67A1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物流平台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注册。乙方与国内收货人签订运输协议，作为收货人或其代理人的代表接收甲方交付的货物。</w:t>
      </w:r>
    </w:p>
    <w:p w:rsidR="00E87D70" w:rsidRPr="000B4689" w:rsidRDefault="00A33A9D" w:rsidP="009E544F">
      <w:pPr>
        <w:pStyle w:val="Bodytext10"/>
        <w:tabs>
          <w:tab w:val="left" w:pos="344"/>
        </w:tabs>
        <w:spacing w:beforeLines="50" w:before="120" w:afterLines="50" w:after="120"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bookmarkStart w:id="4" w:name="bookmark4"/>
      <w:bookmarkEnd w:id="4"/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3．</w:t>
      </w:r>
      <w:r w:rsidR="004B405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为</w:t>
      </w:r>
      <w:r w:rsidR="00E507E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智慧物流平台的提供方</w:t>
      </w:r>
      <w:r w:rsidR="006F157B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，</w:t>
      </w:r>
      <w:r w:rsidR="00AA7F9D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同时为厦门港指定业务平台信息的接收方（</w:t>
      </w:r>
      <w:r w:rsidR="00AA7F9D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智慧物流平台、区块链存证平台），</w:t>
      </w:r>
      <w:r w:rsidR="006F157B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提供货物、集装箱等相关信息服务</w:t>
      </w:r>
      <w:r w:rsidR="00AA7F9D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。</w:t>
      </w:r>
    </w:p>
    <w:p w:rsidR="00E87D70" w:rsidRPr="000B4689" w:rsidRDefault="00A33A9D" w:rsidP="009E544F">
      <w:pPr>
        <w:pStyle w:val="Bodytext10"/>
        <w:tabs>
          <w:tab w:val="left" w:pos="349"/>
        </w:tabs>
        <w:spacing w:beforeLines="50" w:before="120" w:afterLines="50" w:after="120"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bookmarkStart w:id="5" w:name="bookmark5"/>
      <w:bookmarkEnd w:id="5"/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4．</w:t>
      </w:r>
      <w:r w:rsidR="00615655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已在</w:t>
      </w:r>
      <w:r w:rsidR="004B4052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甲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方</w:t>
      </w:r>
      <w:r w:rsidR="00E507E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智慧物流平台注册，并承诺其在注册和使用平台时所提供的信息是真实、合法、有效、完整的。</w:t>
      </w:r>
    </w:p>
    <w:p w:rsidR="00E87D70" w:rsidRPr="000B4689" w:rsidRDefault="00ED63B2" w:rsidP="00F801F8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现甲、乙</w:t>
      </w:r>
      <w:r w:rsidR="004B4052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双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方经友好协商，就乙方使用</w:t>
      </w:r>
      <w:r w:rsidR="00E507E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智慧物流平台代表收货人向甲方申请提货事宜，达成如下协议：</w:t>
      </w:r>
    </w:p>
    <w:p w:rsidR="00E87D70" w:rsidRPr="000B4689" w:rsidRDefault="00ED63B2" w:rsidP="00F801F8">
      <w:pPr>
        <w:pStyle w:val="Bodytext10"/>
        <w:spacing w:beforeLines="50" w:before="120" w:afterLines="50" w:after="120" w:line="400" w:lineRule="exact"/>
        <w:ind w:firstLineChars="200" w:firstLine="402"/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/>
          <w:b/>
          <w:color w:val="000000" w:themeColor="text1"/>
          <w:sz w:val="20"/>
          <w:szCs w:val="21"/>
          <w:lang w:val="en-US" w:eastAsia="zh-CN" w:bidi="en-US"/>
        </w:rPr>
        <w:t>—</w:t>
      </w:r>
      <w:r w:rsidRPr="000B4689"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  <w:t>、各方权利义务</w:t>
      </w:r>
    </w:p>
    <w:p w:rsidR="00E87D70" w:rsidRPr="000B4689" w:rsidRDefault="00ED63B2" w:rsidP="00330AAB">
      <w:pPr>
        <w:pStyle w:val="Bodytext10"/>
        <w:spacing w:beforeLines="50" w:before="120"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1.1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甲方的权利义务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1.1.1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甲方对乙方在网上</w:t>
      </w:r>
      <w:r w:rsidR="006F157B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615655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智慧</w:t>
      </w:r>
      <w:r w:rsidR="00615655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物流平台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提交的提货申请及提货码进行审核，经审核不符合要求的，甲方有权不予放货。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1.1.2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经甲方审核，对乙方提交的提货码对应的电子提货单载明收货 人信息与电子设备交接单（</w:t>
      </w: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EIR）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信息不一致的，甲方有权不予放货。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1.1.3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甲方发现乙方提供虚假信息，造成甲方存在错放货物的可能性，甲方有权停止乙方在</w:t>
      </w:r>
      <w:r w:rsidR="006F157B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B842E0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</w:t>
      </w:r>
      <w:r w:rsidR="00B842E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物流平台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的使用权限。</w:t>
      </w:r>
    </w:p>
    <w:p w:rsidR="00E87D70" w:rsidRPr="000B4689" w:rsidRDefault="00ED63B2" w:rsidP="00330AAB">
      <w:pPr>
        <w:pStyle w:val="Bodytext10"/>
        <w:spacing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1.1.4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乙方未按本协议时限要求交回纸质小提单的，甲方有权停止乙 方在甲方码头的业务办理权限。</w:t>
      </w:r>
    </w:p>
    <w:p w:rsidR="00E87D70" w:rsidRPr="000B4689" w:rsidRDefault="00ED63B2" w:rsidP="00330AAB">
      <w:pPr>
        <w:pStyle w:val="Bodytext10"/>
        <w:spacing w:beforeLines="50" w:before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1.2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乙方的权利义务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1.2.1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乙方承诺并保证乙方已获得收货人的许可和授权，有权代表收 货人向甲方申请提货。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lastRenderedPageBreak/>
        <w:t>1.2.2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乙方取得提货码后，应妥善保管，并承担因提货码保存不当造 成的责任及损失。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1.2.3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乙方凭提货码在</w:t>
      </w:r>
      <w:r w:rsidR="006F157B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B842E0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</w:t>
      </w:r>
      <w:r w:rsidR="00B842E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物流平台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申请放箱。</w:t>
      </w:r>
    </w:p>
    <w:p w:rsidR="00E87D70" w:rsidRPr="000B4689" w:rsidRDefault="00ED63B2" w:rsidP="00713137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1.2.4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乙方在</w:t>
      </w:r>
      <w:r w:rsidR="004043DD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="00B842E0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</w:t>
      </w:r>
      <w:r w:rsidR="00B842E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物流平台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申请提箱，应在通过审批后</w:t>
      </w: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zh-CN" w:eastAsia="zh-CN" w:bidi="zh-CN"/>
        </w:rPr>
        <w:t>5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个工作日 内将纸质小提单交还至甲方</w:t>
      </w:r>
      <w:r w:rsidR="009152B6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业务受理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中心（地址：厦门海沧区</w:t>
      </w:r>
      <w:r w:rsidR="009152B6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港南路288号一楼业务大厅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，联系电话：</w:t>
      </w:r>
      <w:r w:rsidR="009152B6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eastAsia="zh-CN"/>
        </w:rPr>
        <w:t>7799851</w:t>
      </w: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</w:rPr>
        <w:t xml:space="preserve">） </w:t>
      </w:r>
    </w:p>
    <w:p w:rsidR="00E87D70" w:rsidRPr="000B4689" w:rsidRDefault="00ED63B2" w:rsidP="00330AAB">
      <w:pPr>
        <w:pStyle w:val="Bodytext10"/>
        <w:spacing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1.2.5</w:t>
      </w:r>
      <w:r w:rsidR="00713137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="00B842E0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乙方通过</w:t>
      </w:r>
      <w:r w:rsidR="004043DD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智慧物流平台将提货及提箱权转委托其它方的，其它受托方的行为视为乙方的行为，乙方应对因其它方提领造成的货物丢失等承担连带责任。</w:t>
      </w:r>
    </w:p>
    <w:p w:rsidR="00E87D70" w:rsidRPr="000B4689" w:rsidRDefault="00ED63B2" w:rsidP="00F801F8">
      <w:pPr>
        <w:pStyle w:val="Bodytext10"/>
        <w:spacing w:beforeLines="50" w:before="120" w:afterLines="50" w:after="120" w:line="400" w:lineRule="exact"/>
        <w:ind w:firstLineChars="200" w:firstLine="402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  <w:t>二、违约责任</w:t>
      </w:r>
    </w:p>
    <w:p w:rsidR="00482200" w:rsidRPr="000B4689" w:rsidRDefault="00ED63B2" w:rsidP="00762ACC">
      <w:pPr>
        <w:pStyle w:val="Bodytext10"/>
        <w:spacing w:beforeLines="50" w:before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2.1</w:t>
      </w:r>
      <w:r w:rsidR="002C4855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="003D21FA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发生下列任何一项或几项情形的，视为甲方违约</w:t>
      </w:r>
      <w:r w:rsidR="003D21FA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，</w:t>
      </w:r>
      <w:r w:rsidR="00615655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如</w:t>
      </w:r>
      <w:r w:rsidR="003D21FA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因国家或政府部门、口岸监管部门等政策变动，或因黑客、病毒、公共线路调整或设备故障、政府部门监管系统故障等不可控因素，使平台数据遭受篡改、泄露或灭失，或导致平台服务中止，不视为</w:t>
      </w:r>
      <w:r w:rsidR="003D21FA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甲</w:t>
      </w:r>
      <w:r w:rsidR="003D21FA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方违约</w:t>
      </w:r>
      <w:r w:rsidR="003D21FA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。</w:t>
      </w:r>
      <w:r w:rsidR="003D21FA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如甲方违约</w:t>
      </w:r>
      <w:r w:rsidR="003D21FA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，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甲方应承担因违约而给乙方造成的全部损失，并自行承担因此产生的其它损失及责任：</w:t>
      </w:r>
    </w:p>
    <w:p w:rsidR="00482200" w:rsidRPr="000B4689" w:rsidRDefault="00ED63B2" w:rsidP="002C4855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2.1.1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甲方未收到乙方提货申请擅自放货的；</w:t>
      </w:r>
    </w:p>
    <w:p w:rsidR="00482200" w:rsidRPr="000B4689" w:rsidRDefault="00ED63B2" w:rsidP="002C4855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2.1.2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甲方未及时审核乙方提货申请，导致乙方无法提货的。</w:t>
      </w:r>
    </w:p>
    <w:p w:rsidR="00482200" w:rsidRPr="000B4689" w:rsidRDefault="003D21FA" w:rsidP="002C4855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</w:t>
      </w:r>
      <w:r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>1</w:t>
      </w: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.</w:t>
      </w:r>
      <w:r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>3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甲方未尽合理义务采取措施维护智慧物流平台系统安全，导致系统无法正常运行，造成乙方业务无法正常开展的；</w:t>
      </w:r>
    </w:p>
    <w:p w:rsidR="003D21FA" w:rsidRPr="000B4689" w:rsidRDefault="003D21FA" w:rsidP="00762ACC">
      <w:pPr>
        <w:pStyle w:val="Bodytext10"/>
        <w:spacing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</w:t>
      </w:r>
      <w:r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>1</w:t>
      </w: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.</w:t>
      </w:r>
      <w:r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>4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因</w:t>
      </w:r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甲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方的故意或过失导致数据传输延误等导致乙方无法及时提货的；</w:t>
      </w:r>
    </w:p>
    <w:p w:rsidR="007F63EE" w:rsidRPr="000B4689" w:rsidRDefault="00ED63B2" w:rsidP="00762ACC">
      <w:pPr>
        <w:pStyle w:val="Bodytext10"/>
        <w:spacing w:beforeLines="50" w:before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2.2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发生下列任何一项或几项情形的，视为乙方违约，乙方应承担因违约而给甲方造成的全部损失，并自行承担因此产生的其它损失及责 任：</w:t>
      </w:r>
    </w:p>
    <w:p w:rsidR="007F63EE" w:rsidRPr="000B4689" w:rsidRDefault="00ED63B2" w:rsidP="00762ACC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2.2.1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乙方发送的提货码信息不真实，导致甲方放货错误的；</w:t>
      </w:r>
    </w:p>
    <w:p w:rsidR="007F63EE" w:rsidRPr="000B4689" w:rsidRDefault="00ED63B2" w:rsidP="00762ACC">
      <w:pPr>
        <w:pStyle w:val="Bodytext10"/>
        <w:spacing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2.2.2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乙方恶意破解、盗用他人的提货码的；</w:t>
      </w:r>
    </w:p>
    <w:p w:rsidR="00E87D70" w:rsidRPr="000B4689" w:rsidRDefault="00ED63B2" w:rsidP="00762ACC">
      <w:pPr>
        <w:pStyle w:val="Bodytext10"/>
        <w:spacing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2.2.3</w:t>
      </w:r>
      <w:r w:rsidR="007F63EE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乙方提货码保管不善，被盗用的；</w:t>
      </w:r>
    </w:p>
    <w:p w:rsidR="00E87D70" w:rsidRPr="000B4689" w:rsidRDefault="00ED63B2" w:rsidP="00086DF1">
      <w:pPr>
        <w:pStyle w:val="Bodytext10"/>
        <w:spacing w:beforeLines="50" w:before="120" w:afterLines="50" w:after="120" w:line="400" w:lineRule="exact"/>
        <w:ind w:firstLineChars="196" w:firstLine="394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/>
          <w:b/>
          <w:color w:val="000000" w:themeColor="text1"/>
          <w:sz w:val="20"/>
          <w:szCs w:val="21"/>
        </w:rPr>
        <w:t>三、其它约定</w:t>
      </w:r>
    </w:p>
    <w:p w:rsidR="00086DF1" w:rsidRPr="000B4689" w:rsidRDefault="00ED63B2" w:rsidP="00086DF1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3.1</w:t>
      </w:r>
      <w:r w:rsidR="00086DF1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在本协议的有效期内如遇有法律、行政法规、海关规章和规范性文件的规定发生变化直接影响本协议履行的，应先依照法律、行政法规、海关规章和规范性文件的规定执行。甲、乙</w:t>
      </w:r>
      <w:r w:rsidR="009152B6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双方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应按上述规定及时协商修改本协议。</w:t>
      </w:r>
    </w:p>
    <w:p w:rsidR="00086DF1" w:rsidRPr="000B4689" w:rsidRDefault="00996E12" w:rsidP="00086DF1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3.</w:t>
      </w:r>
      <w:r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>2</w:t>
      </w:r>
      <w:r w:rsidR="00277C6A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本协议的签订、履行、终止、解释均适用中国法律，各方一致同意本协议签订地为厦门市海沧区。</w:t>
      </w:r>
      <w:r w:rsidR="00DD601B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双方</w:t>
      </w:r>
      <w:r w:rsidR="00ED63B2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同意，因本协议所产生的或与本协议有关的一切争议，各方应协商解决；协商无法达成一致的，应向协议签订地法院提起诉讼。</w:t>
      </w:r>
    </w:p>
    <w:p w:rsidR="00086DF1" w:rsidRPr="000B4689" w:rsidRDefault="00ED63B2" w:rsidP="00086DF1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3.3</w:t>
      </w:r>
      <w:r w:rsidR="00277C6A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本协议自</w:t>
      </w:r>
      <w:r w:rsidR="006169C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双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方</w:t>
      </w:r>
      <w:r w:rsidR="003065AD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加盖公章或合同专用章之日起生效，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有效期至</w:t>
      </w:r>
      <w:r w:rsidR="003065AD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u w:val="single"/>
          <w:lang w:eastAsia="zh-CN"/>
        </w:rPr>
        <w:t>20</w:t>
      </w:r>
      <w:r w:rsidR="00DD201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u w:val="single"/>
          <w:lang w:eastAsia="zh-CN"/>
        </w:rPr>
        <w:t>2</w:t>
      </w:r>
      <w:r w:rsidR="00A93C53">
        <w:rPr>
          <w:rFonts w:asciiTheme="minorEastAsia" w:eastAsiaTheme="minorEastAsia" w:hAnsiTheme="minorEastAsia" w:hint="eastAsia"/>
          <w:color w:val="000000" w:themeColor="text1"/>
          <w:sz w:val="20"/>
          <w:szCs w:val="21"/>
          <w:u w:val="single"/>
          <w:lang w:eastAsia="zh-CN"/>
        </w:rPr>
        <w:t>4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年</w:t>
      </w:r>
      <w:r w:rsidR="009152B6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u w:val="single"/>
          <w:lang w:eastAsia="zh-CN"/>
        </w:rPr>
        <w:t xml:space="preserve"> </w:t>
      </w:r>
      <w:r w:rsidR="003065AD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u w:val="single"/>
          <w:lang w:eastAsia="zh-CN"/>
        </w:rPr>
        <w:t>12</w:t>
      </w:r>
      <w:r w:rsidR="009152B6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u w:val="single"/>
          <w:lang w:eastAsia="zh-CN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月</w:t>
      </w:r>
      <w:r w:rsidR="009152B6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u w:val="single"/>
          <w:lang w:eastAsia="zh-CN"/>
        </w:rPr>
        <w:t xml:space="preserve"> </w:t>
      </w:r>
      <w:r w:rsidR="003065AD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u w:val="single"/>
          <w:lang w:eastAsia="zh-CN"/>
        </w:rPr>
        <w:t>31</w:t>
      </w:r>
      <w:r w:rsidR="009152B6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u w:val="single"/>
          <w:lang w:eastAsia="zh-CN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日止</w:t>
      </w:r>
      <w:r w:rsidR="009152B6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。</w:t>
      </w:r>
      <w:r w:rsidR="003065AD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如一方需提前终止本合同，应提前一个月书面通知对方。</w:t>
      </w:r>
      <w:bookmarkStart w:id="6" w:name="_GoBack"/>
      <w:bookmarkEnd w:id="6"/>
    </w:p>
    <w:p w:rsidR="00E87D70" w:rsidRPr="000B4689" w:rsidRDefault="00ED63B2" w:rsidP="00086DF1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cs="Times New Roman"/>
          <w:color w:val="000000" w:themeColor="text1"/>
          <w:sz w:val="20"/>
          <w:szCs w:val="21"/>
          <w:lang w:val="en-US" w:eastAsia="zh-CN" w:bidi="en-US"/>
        </w:rPr>
        <w:t>3.4</w:t>
      </w:r>
      <w:r w:rsidR="00277C6A" w:rsidRPr="000B4689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1"/>
          <w:lang w:val="en-US" w:eastAsia="zh-CN" w:bidi="en-US"/>
        </w:rPr>
        <w:t xml:space="preserve"> 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本协议</w:t>
      </w:r>
      <w:r w:rsidR="005A6F1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一式贰份，双方各执</w:t>
      </w:r>
      <w:r w:rsidR="00F171D9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壹</w:t>
      </w:r>
      <w:r w:rsidR="005A6F1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份</w:t>
      </w: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，具有同等法律效力。</w:t>
      </w:r>
    </w:p>
    <w:p w:rsidR="00277C6A" w:rsidRPr="000B4689" w:rsidRDefault="00277C6A" w:rsidP="00086DF1">
      <w:pPr>
        <w:pStyle w:val="Bodytext10"/>
        <w:spacing w:beforeLines="50" w:before="120" w:afterLines="50" w:after="120" w:line="400" w:lineRule="exact"/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3.5 签订日期：     年    月   日，签约地点：厦门市海沧区</w:t>
      </w:r>
    </w:p>
    <w:p w:rsidR="009E544F" w:rsidRPr="000B4689" w:rsidRDefault="009E544F" w:rsidP="00895D5E">
      <w:pPr>
        <w:pStyle w:val="Bodytext10"/>
        <w:spacing w:line="480" w:lineRule="exact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</w:p>
    <w:p w:rsidR="00E8406B" w:rsidRPr="000B4689" w:rsidRDefault="00E8406B" w:rsidP="00895D5E">
      <w:pPr>
        <w:pStyle w:val="Bodytext10"/>
        <w:spacing w:line="480" w:lineRule="exact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</w:p>
    <w:p w:rsidR="00E8406B" w:rsidRPr="000B4689" w:rsidRDefault="00E8406B" w:rsidP="00895D5E">
      <w:pPr>
        <w:pStyle w:val="Bodytext10"/>
        <w:spacing w:line="480" w:lineRule="exact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</w:p>
    <w:p w:rsidR="00E87D70" w:rsidRPr="000B4689" w:rsidRDefault="00ED63B2" w:rsidP="00895D5E">
      <w:pPr>
        <w:pStyle w:val="Bodytext10"/>
        <w:spacing w:line="480" w:lineRule="exact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甲方：</w:t>
      </w:r>
      <w:r w:rsidR="009152B6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厦门远海集装箱码头有限公司</w:t>
      </w:r>
      <w:r w:rsidR="008418E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ab/>
      </w:r>
      <w:r w:rsidR="0009249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ab/>
      </w:r>
      <w:r w:rsidR="002C4D93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乙方</w:t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>：</w:t>
      </w:r>
    </w:p>
    <w:p w:rsidR="00007CAC" w:rsidRPr="000B4689" w:rsidRDefault="00007CAC" w:rsidP="000D4343">
      <w:pPr>
        <w:pStyle w:val="Bodytext10"/>
        <w:spacing w:line="480" w:lineRule="exact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  <w:lang w:eastAsia="zh-CN"/>
        </w:rPr>
      </w:pPr>
    </w:p>
    <w:p w:rsidR="00E87D70" w:rsidRPr="000B4689" w:rsidRDefault="00ED63B2" w:rsidP="00895D5E">
      <w:pPr>
        <w:pStyle w:val="Bodytext10"/>
        <w:spacing w:line="480" w:lineRule="exact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代表人</w:t>
      </w:r>
      <w:r w:rsidR="009C55CF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：</w:t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ab/>
      </w:r>
      <w:r w:rsidR="00092490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  <w:lang w:eastAsia="zh-CN"/>
        </w:rPr>
        <w:tab/>
      </w:r>
      <w:r w:rsidR="002C4D93" w:rsidRPr="000B4689">
        <w:rPr>
          <w:rFonts w:asciiTheme="minorEastAsia" w:eastAsiaTheme="minorEastAsia" w:hAnsiTheme="minorEastAsia"/>
          <w:color w:val="000000" w:themeColor="text1"/>
          <w:sz w:val="20"/>
          <w:szCs w:val="21"/>
        </w:rPr>
        <w:t>代表人</w:t>
      </w:r>
      <w:r w:rsidR="002C4D93" w:rsidRPr="000B468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：</w:t>
      </w:r>
    </w:p>
    <w:p w:rsidR="00C61968" w:rsidRPr="000B4689" w:rsidRDefault="00C61968" w:rsidP="00EC7F25">
      <w:pPr>
        <w:pStyle w:val="Bodytext10"/>
        <w:spacing w:line="480" w:lineRule="exact"/>
        <w:jc w:val="both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</w:p>
    <w:sectPr w:rsidR="00C61968" w:rsidRPr="000B4689" w:rsidSect="00C67B46">
      <w:type w:val="continuous"/>
      <w:pgSz w:w="11907" w:h="16839" w:code="9"/>
      <w:pgMar w:top="1134" w:right="907" w:bottom="1134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80" w:rsidRDefault="00721180" w:rsidP="00E87D70">
      <w:r>
        <w:separator/>
      </w:r>
    </w:p>
  </w:endnote>
  <w:endnote w:type="continuationSeparator" w:id="0">
    <w:p w:rsidR="00721180" w:rsidRDefault="00721180" w:rsidP="00E8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80" w:rsidRDefault="00721180"/>
  </w:footnote>
  <w:footnote w:type="continuationSeparator" w:id="0">
    <w:p w:rsidR="00721180" w:rsidRDefault="00721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2D42"/>
    <w:multiLevelType w:val="multilevel"/>
    <w:tmpl w:val="F05EDF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70"/>
    <w:rsid w:val="00007CAC"/>
    <w:rsid w:val="0002561F"/>
    <w:rsid w:val="00050FC3"/>
    <w:rsid w:val="00086DF1"/>
    <w:rsid w:val="000911AC"/>
    <w:rsid w:val="00092490"/>
    <w:rsid w:val="000B02FE"/>
    <w:rsid w:val="000B4689"/>
    <w:rsid w:val="000C2D93"/>
    <w:rsid w:val="000D4343"/>
    <w:rsid w:val="00177984"/>
    <w:rsid w:val="00263792"/>
    <w:rsid w:val="00277C6A"/>
    <w:rsid w:val="0028070E"/>
    <w:rsid w:val="002C4855"/>
    <w:rsid w:val="002C4D93"/>
    <w:rsid w:val="002E3143"/>
    <w:rsid w:val="003018A1"/>
    <w:rsid w:val="003065AD"/>
    <w:rsid w:val="0031189C"/>
    <w:rsid w:val="00330AAB"/>
    <w:rsid w:val="00340B7F"/>
    <w:rsid w:val="0035349F"/>
    <w:rsid w:val="0035761F"/>
    <w:rsid w:val="003D21FA"/>
    <w:rsid w:val="0040374F"/>
    <w:rsid w:val="004043DD"/>
    <w:rsid w:val="00473F65"/>
    <w:rsid w:val="00474D57"/>
    <w:rsid w:val="00482200"/>
    <w:rsid w:val="004B4052"/>
    <w:rsid w:val="00504C4C"/>
    <w:rsid w:val="005617F0"/>
    <w:rsid w:val="005757AA"/>
    <w:rsid w:val="00590DD6"/>
    <w:rsid w:val="005A6F13"/>
    <w:rsid w:val="005B5B04"/>
    <w:rsid w:val="005E0362"/>
    <w:rsid w:val="005F565F"/>
    <w:rsid w:val="00615655"/>
    <w:rsid w:val="006169C3"/>
    <w:rsid w:val="00622A7C"/>
    <w:rsid w:val="00681F5A"/>
    <w:rsid w:val="00687491"/>
    <w:rsid w:val="006C3AA2"/>
    <w:rsid w:val="006F157B"/>
    <w:rsid w:val="00713137"/>
    <w:rsid w:val="00721180"/>
    <w:rsid w:val="00762ACC"/>
    <w:rsid w:val="0078723A"/>
    <w:rsid w:val="007F63EE"/>
    <w:rsid w:val="008418E0"/>
    <w:rsid w:val="00874EC7"/>
    <w:rsid w:val="00895D5E"/>
    <w:rsid w:val="008D4768"/>
    <w:rsid w:val="008E67A1"/>
    <w:rsid w:val="008F36E0"/>
    <w:rsid w:val="009152B6"/>
    <w:rsid w:val="00961857"/>
    <w:rsid w:val="009876F6"/>
    <w:rsid w:val="00996E12"/>
    <w:rsid w:val="009C55CF"/>
    <w:rsid w:val="009E22EA"/>
    <w:rsid w:val="009E544F"/>
    <w:rsid w:val="00A01D5F"/>
    <w:rsid w:val="00A13CE0"/>
    <w:rsid w:val="00A33A9D"/>
    <w:rsid w:val="00A51095"/>
    <w:rsid w:val="00A55B4E"/>
    <w:rsid w:val="00A90382"/>
    <w:rsid w:val="00A93C53"/>
    <w:rsid w:val="00AA55CA"/>
    <w:rsid w:val="00AA7F9D"/>
    <w:rsid w:val="00B16672"/>
    <w:rsid w:val="00B842E0"/>
    <w:rsid w:val="00BC040E"/>
    <w:rsid w:val="00BD3CBC"/>
    <w:rsid w:val="00C61968"/>
    <w:rsid w:val="00C67B46"/>
    <w:rsid w:val="00C67FC5"/>
    <w:rsid w:val="00D72859"/>
    <w:rsid w:val="00D836A4"/>
    <w:rsid w:val="00DD2013"/>
    <w:rsid w:val="00DD601B"/>
    <w:rsid w:val="00E507E2"/>
    <w:rsid w:val="00E8406B"/>
    <w:rsid w:val="00E87D70"/>
    <w:rsid w:val="00EA7AC0"/>
    <w:rsid w:val="00EB4CFC"/>
    <w:rsid w:val="00EC7F25"/>
    <w:rsid w:val="00ED63B2"/>
    <w:rsid w:val="00F16142"/>
    <w:rsid w:val="00F171D9"/>
    <w:rsid w:val="00F76948"/>
    <w:rsid w:val="00F801F8"/>
    <w:rsid w:val="00F92D1E"/>
    <w:rsid w:val="00FA71E2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7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1">
    <w:name w:val="Picture caption|1_"/>
    <w:basedOn w:val="a0"/>
    <w:link w:val="Picturecaption10"/>
    <w:rsid w:val="00E87D7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E87D7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E87D7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E87D70"/>
    <w:rPr>
      <w:b w:val="0"/>
      <w:bCs w:val="0"/>
      <w:i w:val="0"/>
      <w:iCs w:val="0"/>
      <w:smallCaps w:val="0"/>
      <w:strike w:val="0"/>
      <w:color w:val="7E555D"/>
      <w:sz w:val="116"/>
      <w:szCs w:val="116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rsid w:val="00E87D70"/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E87D70"/>
    <w:pPr>
      <w:spacing w:before="220" w:after="140"/>
      <w:jc w:val="center"/>
      <w:outlineLvl w:val="1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87D70"/>
    <w:pPr>
      <w:spacing w:line="480" w:lineRule="auto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E87D70"/>
    <w:pPr>
      <w:spacing w:line="180" w:lineRule="auto"/>
      <w:ind w:firstLine="600"/>
      <w:outlineLvl w:val="0"/>
    </w:pPr>
    <w:rPr>
      <w:color w:val="7E555D"/>
      <w:sz w:val="116"/>
      <w:szCs w:val="116"/>
    </w:rPr>
  </w:style>
  <w:style w:type="paragraph" w:styleId="a3">
    <w:name w:val="header"/>
    <w:basedOn w:val="a"/>
    <w:link w:val="Char"/>
    <w:uiPriority w:val="99"/>
    <w:unhideWhenUsed/>
    <w:rsid w:val="008E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7A1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7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7A1"/>
    <w:rPr>
      <w:rFonts w:eastAsia="Times New Roman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67FC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67FC5"/>
  </w:style>
  <w:style w:type="character" w:customStyle="1" w:styleId="Char1">
    <w:name w:val="批注文字 Char"/>
    <w:basedOn w:val="a0"/>
    <w:link w:val="a6"/>
    <w:uiPriority w:val="99"/>
    <w:semiHidden/>
    <w:rsid w:val="00C67FC5"/>
    <w:rPr>
      <w:rFonts w:eastAsia="Times New Roman"/>
      <w:color w:val="00000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67FC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67FC5"/>
    <w:rPr>
      <w:rFonts w:eastAsia="Times New Roman"/>
      <w:b/>
      <w:bCs/>
      <w:color w:val="000000"/>
    </w:rPr>
  </w:style>
  <w:style w:type="paragraph" w:styleId="a8">
    <w:name w:val="Balloon Text"/>
    <w:basedOn w:val="a"/>
    <w:link w:val="Char3"/>
    <w:uiPriority w:val="99"/>
    <w:semiHidden/>
    <w:unhideWhenUsed/>
    <w:rsid w:val="00C67FC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67FC5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7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1">
    <w:name w:val="Picture caption|1_"/>
    <w:basedOn w:val="a0"/>
    <w:link w:val="Picturecaption10"/>
    <w:rsid w:val="00E87D7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E87D7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E87D7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E87D70"/>
    <w:rPr>
      <w:b w:val="0"/>
      <w:bCs w:val="0"/>
      <w:i w:val="0"/>
      <w:iCs w:val="0"/>
      <w:smallCaps w:val="0"/>
      <w:strike w:val="0"/>
      <w:color w:val="7E555D"/>
      <w:sz w:val="116"/>
      <w:szCs w:val="116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rsid w:val="00E87D70"/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E87D70"/>
    <w:pPr>
      <w:spacing w:before="220" w:after="140"/>
      <w:jc w:val="center"/>
      <w:outlineLvl w:val="1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87D70"/>
    <w:pPr>
      <w:spacing w:line="480" w:lineRule="auto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E87D70"/>
    <w:pPr>
      <w:spacing w:line="180" w:lineRule="auto"/>
      <w:ind w:firstLine="600"/>
      <w:outlineLvl w:val="0"/>
    </w:pPr>
    <w:rPr>
      <w:color w:val="7E555D"/>
      <w:sz w:val="116"/>
      <w:szCs w:val="116"/>
    </w:rPr>
  </w:style>
  <w:style w:type="paragraph" w:styleId="a3">
    <w:name w:val="header"/>
    <w:basedOn w:val="a"/>
    <w:link w:val="Char"/>
    <w:uiPriority w:val="99"/>
    <w:unhideWhenUsed/>
    <w:rsid w:val="008E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7A1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7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7A1"/>
    <w:rPr>
      <w:rFonts w:eastAsia="Times New Roman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67FC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67FC5"/>
  </w:style>
  <w:style w:type="character" w:customStyle="1" w:styleId="Char1">
    <w:name w:val="批注文字 Char"/>
    <w:basedOn w:val="a0"/>
    <w:link w:val="a6"/>
    <w:uiPriority w:val="99"/>
    <w:semiHidden/>
    <w:rsid w:val="00C67FC5"/>
    <w:rPr>
      <w:rFonts w:eastAsia="Times New Roman"/>
      <w:color w:val="00000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67FC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67FC5"/>
    <w:rPr>
      <w:rFonts w:eastAsia="Times New Roman"/>
      <w:b/>
      <w:bCs/>
      <w:color w:val="000000"/>
    </w:rPr>
  </w:style>
  <w:style w:type="paragraph" w:styleId="a8">
    <w:name w:val="Balloon Text"/>
    <w:basedOn w:val="a"/>
    <w:link w:val="Char3"/>
    <w:uiPriority w:val="99"/>
    <w:semiHidden/>
    <w:unhideWhenUsed/>
    <w:rsid w:val="00C67FC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67FC5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颜志琼</dc:creator>
  <cp:lastModifiedBy>陈佳铭</cp:lastModifiedBy>
  <cp:revision>4</cp:revision>
  <dcterms:created xsi:type="dcterms:W3CDTF">2021-12-29T08:26:00Z</dcterms:created>
  <dcterms:modified xsi:type="dcterms:W3CDTF">2023-08-10T03:19:00Z</dcterms:modified>
</cp:coreProperties>
</file>